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4AF93">
      <w:pPr>
        <w:widowControl w:val="0"/>
        <w:spacing w:line="580" w:lineRule="exact"/>
        <w:rPr>
          <w:rFonts w:ascii="黑体" w:hAnsi="黑体" w:eastAsia="黑体"/>
          <w:sz w:val="32"/>
          <w:szCs w:val="32"/>
        </w:rPr>
      </w:pPr>
      <w:r>
        <w:rPr>
          <w:rFonts w:hint="eastAsia" w:ascii="黑体" w:hAnsi="黑体" w:eastAsia="黑体"/>
          <w:sz w:val="32"/>
          <w:szCs w:val="32"/>
        </w:rPr>
        <w:t>附件1</w:t>
      </w:r>
    </w:p>
    <w:p w14:paraId="100765F8">
      <w:pPr>
        <w:widowControl w:val="0"/>
        <w:spacing w:line="580" w:lineRule="exact"/>
        <w:jc w:val="center"/>
        <w:outlineLvl w:val="0"/>
        <w:rPr>
          <w:rFonts w:ascii="小标宋" w:hAnsi="Calibri" w:eastAsia="小标宋"/>
          <w:sz w:val="44"/>
          <w:szCs w:val="32"/>
        </w:rPr>
      </w:pPr>
      <w:bookmarkStart w:id="0" w:name="_GoBack"/>
      <w:r>
        <w:rPr>
          <w:rFonts w:hint="eastAsia" w:ascii="小标宋" w:hAnsi="Calibri" w:eastAsia="小标宋"/>
          <w:sz w:val="44"/>
          <w:szCs w:val="32"/>
          <w:lang w:val="en-US" w:eastAsia="zh-CN"/>
        </w:rPr>
        <w:t>信息通信</w:t>
      </w:r>
      <w:r>
        <w:rPr>
          <w:rFonts w:hint="eastAsia" w:ascii="小标宋" w:hAnsi="Calibri" w:eastAsia="小标宋"/>
          <w:sz w:val="44"/>
          <w:szCs w:val="32"/>
        </w:rPr>
        <w:t>工程技术领域</w:t>
      </w:r>
    </w:p>
    <w:bookmarkEnd w:id="0"/>
    <w:p w14:paraId="376D872E">
      <w:pPr>
        <w:widowControl w:val="0"/>
        <w:spacing w:line="580" w:lineRule="exact"/>
        <w:rPr>
          <w:rFonts w:ascii="仿宋_GB2312" w:hAnsi="Calibri" w:eastAsia="仿宋_GB2312"/>
          <w:sz w:val="32"/>
          <w:szCs w:val="32"/>
        </w:rPr>
      </w:pPr>
    </w:p>
    <w:tbl>
      <w:tblPr>
        <w:tblStyle w:val="4"/>
        <w:tblW w:w="53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108"/>
        <w:gridCol w:w="3746"/>
        <w:gridCol w:w="3195"/>
      </w:tblGrid>
      <w:tr w14:paraId="0A3E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blHeader/>
          <w:jc w:val="center"/>
        </w:trPr>
        <w:tc>
          <w:tcPr>
            <w:tcW w:w="554" w:type="pct"/>
            <w:shd w:val="clear" w:color="auto" w:fill="auto"/>
            <w:noWrap/>
            <w:vAlign w:val="center"/>
          </w:tcPr>
          <w:p w14:paraId="368BBACC">
            <w:pPr>
              <w:overflowPunct/>
              <w:autoSpaceDE/>
              <w:autoSpaceDN/>
              <w:adjustRightInd/>
              <w:jc w:val="center"/>
              <w:textAlignment w:val="auto"/>
              <w:rPr>
                <w:rFonts w:ascii="黑体" w:hAnsi="黑体" w:eastAsia="黑体" w:cs="宋体"/>
                <w:bCs/>
                <w:color w:val="000000"/>
                <w:szCs w:val="28"/>
              </w:rPr>
            </w:pPr>
            <w:r>
              <w:rPr>
                <w:rFonts w:hint="eastAsia" w:ascii="黑体" w:hAnsi="黑体" w:eastAsia="黑体" w:cs="宋体"/>
                <w:bCs/>
                <w:color w:val="000000"/>
                <w:szCs w:val="28"/>
              </w:rPr>
              <w:t>工程技术领域</w:t>
            </w:r>
          </w:p>
        </w:tc>
        <w:tc>
          <w:tcPr>
            <w:tcW w:w="611" w:type="pct"/>
            <w:shd w:val="clear" w:color="auto" w:fill="auto"/>
            <w:vAlign w:val="center"/>
          </w:tcPr>
          <w:p w14:paraId="0BE2C6AD">
            <w:pPr>
              <w:overflowPunct/>
              <w:autoSpaceDE/>
              <w:autoSpaceDN/>
              <w:adjustRightInd/>
              <w:jc w:val="center"/>
              <w:textAlignment w:val="auto"/>
              <w:rPr>
                <w:rFonts w:ascii="黑体" w:hAnsi="黑体" w:eastAsia="黑体" w:cs="宋体"/>
                <w:bCs/>
                <w:color w:val="000000"/>
                <w:szCs w:val="28"/>
              </w:rPr>
            </w:pPr>
            <w:r>
              <w:rPr>
                <w:rFonts w:hint="eastAsia" w:ascii="黑体" w:hAnsi="黑体" w:eastAsia="黑体" w:cs="宋体"/>
                <w:bCs/>
                <w:color w:val="000000"/>
                <w:szCs w:val="28"/>
              </w:rPr>
              <w:t>专业类别</w:t>
            </w:r>
          </w:p>
        </w:tc>
        <w:tc>
          <w:tcPr>
            <w:tcW w:w="2069" w:type="pct"/>
            <w:shd w:val="clear" w:color="auto" w:fill="auto"/>
            <w:vAlign w:val="center"/>
          </w:tcPr>
          <w:p w14:paraId="6C9293ED">
            <w:pPr>
              <w:overflowPunct/>
              <w:autoSpaceDE/>
              <w:autoSpaceDN/>
              <w:adjustRightInd/>
              <w:jc w:val="center"/>
              <w:textAlignment w:val="auto"/>
              <w:rPr>
                <w:rFonts w:ascii="黑体" w:hAnsi="黑体" w:eastAsia="黑体" w:cs="宋体"/>
                <w:bCs/>
                <w:color w:val="000000"/>
                <w:szCs w:val="28"/>
              </w:rPr>
            </w:pPr>
            <w:r>
              <w:rPr>
                <w:rFonts w:hint="eastAsia" w:ascii="黑体" w:hAnsi="黑体" w:eastAsia="黑体" w:cs="宋体"/>
                <w:bCs/>
                <w:color w:val="000000"/>
                <w:szCs w:val="28"/>
              </w:rPr>
              <w:t>范围</w:t>
            </w:r>
          </w:p>
        </w:tc>
        <w:tc>
          <w:tcPr>
            <w:tcW w:w="1764" w:type="pct"/>
            <w:shd w:val="clear" w:color="auto" w:fill="auto"/>
            <w:vAlign w:val="center"/>
          </w:tcPr>
          <w:p w14:paraId="7654328C">
            <w:pPr>
              <w:overflowPunct/>
              <w:autoSpaceDE/>
              <w:autoSpaceDN/>
              <w:adjustRightInd/>
              <w:jc w:val="center"/>
              <w:textAlignment w:val="auto"/>
              <w:rPr>
                <w:rFonts w:hint="eastAsia" w:ascii="黑体" w:hAnsi="黑体" w:eastAsia="黑体" w:cs="宋体"/>
                <w:bCs/>
                <w:color w:val="000000"/>
                <w:szCs w:val="28"/>
                <w:lang w:val="en-US" w:eastAsia="zh-CN"/>
              </w:rPr>
            </w:pPr>
            <w:r>
              <w:rPr>
                <w:rFonts w:hint="eastAsia" w:ascii="黑体" w:hAnsi="黑体" w:eastAsia="黑体" w:cs="宋体"/>
                <w:bCs/>
                <w:color w:val="000000"/>
                <w:szCs w:val="28"/>
                <w:lang w:val="en-US" w:eastAsia="zh-CN"/>
              </w:rPr>
              <w:t>备注</w:t>
            </w:r>
          </w:p>
        </w:tc>
      </w:tr>
      <w:tr w14:paraId="6FB8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554" w:type="pct"/>
            <w:vMerge w:val="restart"/>
            <w:shd w:val="clear" w:color="auto" w:fill="auto"/>
            <w:noWrap/>
            <w:vAlign w:val="center"/>
          </w:tcPr>
          <w:p w14:paraId="66B92BCD">
            <w:pPr>
              <w:overflowPunct/>
              <w:autoSpaceDE/>
              <w:autoSpaceDN/>
              <w:adjustRightInd/>
              <w:jc w:val="center"/>
              <w:textAlignment w:val="auto"/>
              <w:rPr>
                <w:rFonts w:ascii="仿宋_GB2312" w:hAnsi="微软雅黑" w:eastAsia="仿宋_GB2312" w:cs="宋体"/>
                <w:color w:val="000000"/>
                <w:szCs w:val="28"/>
              </w:rPr>
            </w:pPr>
            <w:r>
              <w:rPr>
                <w:rFonts w:hint="eastAsia" w:ascii="仿宋_GB2312" w:hAnsi="微软雅黑" w:eastAsia="仿宋_GB2312" w:cs="宋体"/>
                <w:color w:val="000000"/>
                <w:szCs w:val="28"/>
              </w:rPr>
              <w:t>信息通信工程类</w:t>
            </w:r>
          </w:p>
        </w:tc>
        <w:tc>
          <w:tcPr>
            <w:tcW w:w="611" w:type="pct"/>
            <w:shd w:val="clear" w:color="auto" w:fill="auto"/>
            <w:vAlign w:val="center"/>
          </w:tcPr>
          <w:p w14:paraId="509E1CBD">
            <w:pPr>
              <w:overflowPunct/>
              <w:autoSpaceDE/>
              <w:autoSpaceDN/>
              <w:adjustRightInd/>
              <w:jc w:val="center"/>
              <w:textAlignment w:val="auto"/>
              <w:rPr>
                <w:rFonts w:ascii="仿宋_GB2312" w:hAnsi="微软雅黑" w:eastAsia="仿宋_GB2312" w:cs="宋体"/>
                <w:color w:val="000000"/>
                <w:szCs w:val="28"/>
              </w:rPr>
            </w:pPr>
            <w:r>
              <w:rPr>
                <w:rFonts w:hint="eastAsia" w:ascii="仿宋_GB2312" w:hAnsi="微软雅黑" w:eastAsia="仿宋_GB2312" w:cs="宋体"/>
                <w:color w:val="000000"/>
                <w:szCs w:val="28"/>
              </w:rPr>
              <w:t>信息通信管线专业</w:t>
            </w:r>
          </w:p>
        </w:tc>
        <w:tc>
          <w:tcPr>
            <w:tcW w:w="2069" w:type="pct"/>
            <w:shd w:val="clear" w:color="auto" w:fill="auto"/>
            <w:vAlign w:val="center"/>
          </w:tcPr>
          <w:p w14:paraId="6CDA6102">
            <w:pPr>
              <w:overflowPunct/>
              <w:autoSpaceDE/>
              <w:autoSpaceDN/>
              <w:adjustRightInd/>
              <w:textAlignment w:val="auto"/>
              <w:rPr>
                <w:rFonts w:ascii="仿宋_GB2312" w:hAnsi="微软雅黑" w:eastAsia="仿宋_GB2312" w:cs="宋体"/>
                <w:color w:val="000000"/>
                <w:szCs w:val="28"/>
              </w:rPr>
            </w:pPr>
            <w:r>
              <w:rPr>
                <w:rFonts w:hint="eastAsia" w:ascii="仿宋_GB2312" w:hAnsi="微软雅黑" w:eastAsia="仿宋_GB2312" w:cs="宋体"/>
                <w:color w:val="000000"/>
                <w:szCs w:val="28"/>
              </w:rPr>
              <w:t>包括但不限于通信管道、综合管廊、通道工程及其分支专业；架空、直埋、管道、海缆等光（电）缆线路工程及其分支专业。</w:t>
            </w:r>
          </w:p>
        </w:tc>
        <w:tc>
          <w:tcPr>
            <w:tcW w:w="1764" w:type="pct"/>
            <w:shd w:val="clear" w:color="auto" w:fill="auto"/>
            <w:vAlign w:val="center"/>
          </w:tcPr>
          <w:p w14:paraId="56C0B34D">
            <w:pPr>
              <w:overflowPunct/>
              <w:autoSpaceDE/>
              <w:autoSpaceDN/>
              <w:adjustRightInd/>
              <w:textAlignment w:val="auto"/>
              <w:rPr>
                <w:rFonts w:hint="eastAsia" w:ascii="仿宋_GB2312" w:hAnsi="微软雅黑" w:eastAsia="仿宋_GB2312" w:cs="宋体"/>
                <w:color w:val="000000"/>
                <w:szCs w:val="28"/>
              </w:rPr>
            </w:pPr>
          </w:p>
        </w:tc>
      </w:tr>
      <w:tr w14:paraId="5101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554" w:type="pct"/>
            <w:vMerge w:val="continue"/>
            <w:vAlign w:val="center"/>
          </w:tcPr>
          <w:p w14:paraId="25B1958B">
            <w:pPr>
              <w:overflowPunct/>
              <w:autoSpaceDE/>
              <w:autoSpaceDN/>
              <w:adjustRightInd/>
              <w:jc w:val="left"/>
              <w:textAlignment w:val="auto"/>
              <w:rPr>
                <w:rFonts w:ascii="仿宋_GB2312" w:hAnsi="微软雅黑" w:eastAsia="仿宋_GB2312" w:cs="宋体"/>
                <w:color w:val="000000"/>
                <w:szCs w:val="28"/>
              </w:rPr>
            </w:pPr>
          </w:p>
        </w:tc>
        <w:tc>
          <w:tcPr>
            <w:tcW w:w="611" w:type="pct"/>
            <w:shd w:val="clear" w:color="auto" w:fill="auto"/>
            <w:vAlign w:val="center"/>
          </w:tcPr>
          <w:p w14:paraId="5E888677">
            <w:pPr>
              <w:overflowPunct/>
              <w:autoSpaceDE/>
              <w:autoSpaceDN/>
              <w:adjustRightInd/>
              <w:jc w:val="center"/>
              <w:textAlignment w:val="auto"/>
              <w:rPr>
                <w:rFonts w:ascii="仿宋_GB2312" w:hAnsi="微软雅黑" w:eastAsia="仿宋_GB2312" w:cs="宋体"/>
                <w:color w:val="000000"/>
                <w:szCs w:val="28"/>
              </w:rPr>
            </w:pPr>
            <w:r>
              <w:rPr>
                <w:rFonts w:hint="eastAsia" w:ascii="仿宋_GB2312" w:hAnsi="微软雅黑" w:eastAsia="仿宋_GB2312" w:cs="宋体"/>
                <w:color w:val="000000"/>
                <w:szCs w:val="28"/>
              </w:rPr>
              <w:t>信息通信网络专业</w:t>
            </w:r>
          </w:p>
        </w:tc>
        <w:tc>
          <w:tcPr>
            <w:tcW w:w="2069" w:type="pct"/>
            <w:shd w:val="clear" w:color="auto" w:fill="auto"/>
            <w:vAlign w:val="center"/>
          </w:tcPr>
          <w:p w14:paraId="11B8AA6D">
            <w:pPr>
              <w:overflowPunct/>
              <w:autoSpaceDE/>
              <w:autoSpaceDN/>
              <w:adjustRightInd/>
              <w:textAlignment w:val="auto"/>
              <w:rPr>
                <w:rFonts w:ascii="仿宋_GB2312" w:hAnsi="微软雅黑" w:eastAsia="仿宋_GB2312" w:cs="宋体"/>
                <w:color w:val="000000"/>
                <w:szCs w:val="28"/>
              </w:rPr>
            </w:pPr>
            <w:r>
              <w:rPr>
                <w:rFonts w:hint="eastAsia" w:ascii="仿宋_GB2312" w:hAnsi="微软雅黑" w:eastAsia="仿宋_GB2312" w:cs="宋体"/>
                <w:color w:val="000000"/>
                <w:szCs w:val="28"/>
              </w:rPr>
              <w:t>包括但不限于有线传输网络及设备、无线网络及设备、核心交换网络及设备、信息通信网络数字化信息技术基础设施等工程及其分支专业。</w:t>
            </w:r>
          </w:p>
        </w:tc>
        <w:tc>
          <w:tcPr>
            <w:tcW w:w="1764" w:type="pct"/>
            <w:shd w:val="clear" w:color="auto" w:fill="auto"/>
            <w:vAlign w:val="center"/>
          </w:tcPr>
          <w:p w14:paraId="1B8353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微软雅黑" w:eastAsia="仿宋_GB2312" w:cs="宋体"/>
                <w:color w:val="000000"/>
                <w:szCs w:val="28"/>
              </w:rPr>
            </w:pPr>
            <w:r>
              <w:rPr>
                <w:rFonts w:hint="eastAsia" w:ascii="仿宋_GB2312" w:hAnsi="微软雅黑" w:eastAsia="仿宋_GB2312" w:cs="宋体"/>
                <w:color w:val="000000"/>
                <w:szCs w:val="28"/>
                <w:lang w:val="en-US" w:eastAsia="zh-CN"/>
              </w:rPr>
              <w:t>1.</w:t>
            </w:r>
            <w:r>
              <w:rPr>
                <w:rFonts w:hint="eastAsia" w:ascii="仿宋_GB2312" w:hAnsi="微软雅黑" w:eastAsia="仿宋_GB2312" w:cs="宋体"/>
                <w:color w:val="000000"/>
                <w:szCs w:val="28"/>
              </w:rPr>
              <w:t>有线传输网络及设备包括且不限于：PON、SDH、MSTP、PTN、SPN、IP RAN、WDM、OTN、SDON等以及新一代有线传输网络。</w:t>
            </w:r>
          </w:p>
          <w:p w14:paraId="27F831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微软雅黑" w:eastAsia="仿宋_GB2312" w:cs="宋体"/>
                <w:color w:val="000000"/>
                <w:szCs w:val="28"/>
              </w:rPr>
            </w:pPr>
            <w:r>
              <w:rPr>
                <w:rFonts w:hint="eastAsia" w:ascii="仿宋_GB2312" w:hAnsi="微软雅黑" w:eastAsia="仿宋_GB2312" w:cs="宋体"/>
                <w:color w:val="000000"/>
                <w:szCs w:val="28"/>
                <w:lang w:val="en-US" w:eastAsia="zh-CN"/>
              </w:rPr>
              <w:t>2.</w:t>
            </w:r>
            <w:r>
              <w:rPr>
                <w:rFonts w:hint="eastAsia" w:ascii="仿宋_GB2312" w:hAnsi="微软雅黑" w:eastAsia="仿宋_GB2312" w:cs="宋体"/>
                <w:color w:val="000000"/>
                <w:szCs w:val="28"/>
              </w:rPr>
              <w:t>无线网络及设备包括且不限于：移动通信无线接入网（如：2G、3G、4G、NB-IoT、5G、eMTC、RedCap、LoRa、Sigfox）、数字集群通信无线接入网、WLAN无线接入网（AP）、固定无线接入（含：3.5 GHz固定无线接入、26GHz本地多点分配系统[LMDS]、点对点数字微波、宽带无线城域网等）、数字微波通信、卫星通信无线网（含：卫星地球站、通信卫星等）等以及新一代无线网络。</w:t>
            </w:r>
          </w:p>
          <w:p w14:paraId="41B362F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仿宋_GB2312" w:hAnsi="微软雅黑" w:eastAsia="仿宋_GB2312" w:cs="宋体"/>
                <w:color w:val="000000"/>
                <w:szCs w:val="28"/>
              </w:rPr>
            </w:pPr>
            <w:r>
              <w:rPr>
                <w:rFonts w:hint="eastAsia" w:ascii="仿宋_GB2312" w:hAnsi="微软雅黑" w:eastAsia="仿宋_GB2312" w:cs="宋体"/>
                <w:color w:val="000000"/>
                <w:szCs w:val="28"/>
              </w:rPr>
              <w:t>注：无线网设备包含天线、馈线、直放站等。</w:t>
            </w:r>
          </w:p>
          <w:p w14:paraId="23A0EB8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仿宋_GB2312" w:hAnsi="微软雅黑" w:eastAsia="仿宋_GB2312" w:cs="宋体"/>
                <w:color w:val="000000"/>
                <w:szCs w:val="28"/>
              </w:rPr>
            </w:pPr>
            <w:r>
              <w:rPr>
                <w:rFonts w:hint="eastAsia" w:ascii="仿宋_GB2312" w:hAnsi="微软雅黑" w:eastAsia="仿宋_GB2312" w:cs="宋体"/>
                <w:color w:val="000000"/>
                <w:szCs w:val="28"/>
                <w:lang w:val="en-US" w:eastAsia="zh-CN"/>
              </w:rPr>
              <w:t>3.</w:t>
            </w:r>
            <w:r>
              <w:rPr>
                <w:rFonts w:hint="eastAsia" w:ascii="仿宋_GB2312" w:hAnsi="微软雅黑" w:eastAsia="仿宋_GB2312" w:cs="宋体"/>
                <w:color w:val="000000"/>
                <w:szCs w:val="28"/>
              </w:rPr>
              <w:t>核心交换网络及设备包括且不限于：移动通信核心网（如：2G/3G核心网、4G核心网、NB-IoT核心网、5G核心网）、信令网、数字集群通信核心网、电路交换电话网、NGN、IMS网络、语音业务增值业务平台（如：语音信箱、智能网、彩铃业务平台、彩印业务平台、一卡多号业务平台、新通话业务平台）、消息中心（如：短消息中心、多媒体消息中心、即时消息中心）及消息业务网关、定位平台、基础服务IP网络（含：BRAS、Radius、Portal、AC等接入控制设备、WAP网关等）、</w:t>
            </w:r>
          </w:p>
          <w:p w14:paraId="1433E20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仿宋_GB2312" w:hAnsi="微软雅黑" w:eastAsia="仿宋_GB2312" w:cs="宋体"/>
                <w:color w:val="000000"/>
                <w:szCs w:val="28"/>
              </w:rPr>
            </w:pPr>
            <w:r>
              <w:rPr>
                <w:rFonts w:hint="eastAsia" w:ascii="仿宋_GB2312" w:hAnsi="微软雅黑" w:eastAsia="仿宋_GB2312" w:cs="宋体"/>
                <w:color w:val="000000"/>
                <w:szCs w:val="28"/>
              </w:rPr>
              <w:t>卫星通信核心网（网关站）等以及新一代核心交换网络。</w:t>
            </w:r>
          </w:p>
          <w:p w14:paraId="7CAFDD0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仿宋_GB2312" w:hAnsi="微软雅黑" w:eastAsia="仿宋_GB2312" w:cs="宋体"/>
                <w:color w:val="000000"/>
                <w:szCs w:val="28"/>
              </w:rPr>
            </w:pPr>
            <w:r>
              <w:rPr>
                <w:rFonts w:hint="eastAsia" w:ascii="仿宋_GB2312" w:hAnsi="微软雅黑" w:eastAsia="仿宋_GB2312" w:cs="宋体"/>
                <w:color w:val="000000"/>
                <w:szCs w:val="28"/>
                <w:lang w:val="en-US" w:eastAsia="zh-CN"/>
              </w:rPr>
              <w:t>4.</w:t>
            </w:r>
            <w:r>
              <w:rPr>
                <w:rFonts w:hint="eastAsia" w:ascii="仿宋_GB2312" w:hAnsi="微软雅黑" w:eastAsia="仿宋_GB2312" w:cs="宋体"/>
                <w:color w:val="000000"/>
                <w:szCs w:val="28"/>
              </w:rPr>
              <w:t>信息通信网络数字化信息技术基础设施包括且不限于：NFV云资源池基础设施、NFV云资源池安全防护、承载网络的安全防护、网元及其数据的安全防护等。</w:t>
            </w:r>
          </w:p>
        </w:tc>
      </w:tr>
      <w:tr w14:paraId="5CE7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jc w:val="center"/>
        </w:trPr>
        <w:tc>
          <w:tcPr>
            <w:tcW w:w="554" w:type="pct"/>
            <w:vMerge w:val="continue"/>
            <w:vAlign w:val="center"/>
          </w:tcPr>
          <w:p w14:paraId="4A6453F8">
            <w:pPr>
              <w:overflowPunct/>
              <w:autoSpaceDE/>
              <w:autoSpaceDN/>
              <w:adjustRightInd/>
              <w:jc w:val="left"/>
              <w:textAlignment w:val="auto"/>
              <w:rPr>
                <w:rFonts w:ascii="仿宋_GB2312" w:hAnsi="微软雅黑" w:eastAsia="仿宋_GB2312" w:cs="宋体"/>
                <w:color w:val="000000"/>
                <w:szCs w:val="28"/>
              </w:rPr>
            </w:pPr>
          </w:p>
        </w:tc>
        <w:tc>
          <w:tcPr>
            <w:tcW w:w="611" w:type="pct"/>
            <w:shd w:val="clear" w:color="auto" w:fill="auto"/>
            <w:vAlign w:val="center"/>
          </w:tcPr>
          <w:p w14:paraId="4318AA1B">
            <w:pPr>
              <w:overflowPunct/>
              <w:autoSpaceDE/>
              <w:autoSpaceDN/>
              <w:adjustRightInd/>
              <w:jc w:val="center"/>
              <w:textAlignment w:val="auto"/>
              <w:rPr>
                <w:rFonts w:ascii="仿宋_GB2312" w:hAnsi="微软雅黑" w:eastAsia="仿宋_GB2312" w:cs="宋体"/>
                <w:color w:val="000000"/>
                <w:szCs w:val="28"/>
              </w:rPr>
            </w:pPr>
            <w:r>
              <w:rPr>
                <w:rFonts w:hint="eastAsia" w:ascii="仿宋_GB2312" w:hAnsi="微软雅黑" w:eastAsia="仿宋_GB2312" w:cs="宋体"/>
                <w:color w:val="000000"/>
                <w:szCs w:val="28"/>
              </w:rPr>
              <w:t>信息通信局站配套专业</w:t>
            </w:r>
          </w:p>
        </w:tc>
        <w:tc>
          <w:tcPr>
            <w:tcW w:w="2069" w:type="pct"/>
            <w:shd w:val="clear" w:color="auto" w:fill="auto"/>
            <w:vAlign w:val="center"/>
          </w:tcPr>
          <w:p w14:paraId="6AE00855">
            <w:pPr>
              <w:overflowPunct/>
              <w:autoSpaceDE/>
              <w:autoSpaceDN/>
              <w:adjustRightInd/>
              <w:textAlignment w:val="auto"/>
              <w:rPr>
                <w:rFonts w:ascii="仿宋_GB2312" w:hAnsi="微软雅黑" w:eastAsia="仿宋_GB2312" w:cs="宋体"/>
                <w:color w:val="000000"/>
                <w:szCs w:val="28"/>
              </w:rPr>
            </w:pPr>
            <w:r>
              <w:rPr>
                <w:rFonts w:hint="eastAsia" w:ascii="仿宋_GB2312" w:hAnsi="微软雅黑" w:eastAsia="仿宋_GB2312" w:cs="宋体"/>
                <w:color w:val="000000"/>
                <w:szCs w:val="28"/>
              </w:rPr>
              <w:t>包括但不限于信息通信建筑及机房、信息通信设备动力（电源）、信息通信设备环境（暖通、空调、防雷接地）、信息通信设备机柜、信息通信塔桅、一体化信息通信设备机柜、时间同步网、时钟同步网等工程及其分支专业。</w:t>
            </w:r>
          </w:p>
        </w:tc>
        <w:tc>
          <w:tcPr>
            <w:tcW w:w="1764" w:type="pct"/>
            <w:shd w:val="clear" w:color="auto" w:fill="auto"/>
            <w:vAlign w:val="center"/>
          </w:tcPr>
          <w:p w14:paraId="5B778510">
            <w:pPr>
              <w:overflowPunct/>
              <w:autoSpaceDE/>
              <w:autoSpaceDN/>
              <w:adjustRightInd/>
              <w:textAlignment w:val="auto"/>
              <w:rPr>
                <w:rFonts w:hint="eastAsia" w:ascii="仿宋_GB2312" w:hAnsi="微软雅黑" w:eastAsia="仿宋_GB2312" w:cs="宋体"/>
                <w:color w:val="000000"/>
                <w:szCs w:val="28"/>
              </w:rPr>
            </w:pPr>
          </w:p>
        </w:tc>
      </w:tr>
      <w:tr w14:paraId="78DF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554" w:type="pct"/>
            <w:vMerge w:val="continue"/>
            <w:vAlign w:val="center"/>
          </w:tcPr>
          <w:p w14:paraId="35B14891">
            <w:pPr>
              <w:overflowPunct/>
              <w:autoSpaceDE/>
              <w:autoSpaceDN/>
              <w:adjustRightInd/>
              <w:jc w:val="left"/>
              <w:textAlignment w:val="auto"/>
              <w:rPr>
                <w:rFonts w:ascii="仿宋_GB2312" w:hAnsi="微软雅黑" w:eastAsia="仿宋_GB2312" w:cs="宋体"/>
                <w:color w:val="000000"/>
                <w:szCs w:val="28"/>
              </w:rPr>
            </w:pPr>
          </w:p>
        </w:tc>
        <w:tc>
          <w:tcPr>
            <w:tcW w:w="611" w:type="pct"/>
            <w:shd w:val="clear" w:color="auto" w:fill="auto"/>
            <w:vAlign w:val="center"/>
          </w:tcPr>
          <w:p w14:paraId="39F1FDFB">
            <w:pPr>
              <w:overflowPunct/>
              <w:autoSpaceDE/>
              <w:autoSpaceDN/>
              <w:adjustRightInd/>
              <w:jc w:val="center"/>
              <w:textAlignment w:val="auto"/>
              <w:rPr>
                <w:rFonts w:ascii="仿宋_GB2312" w:hAnsi="微软雅黑" w:eastAsia="仿宋_GB2312" w:cs="宋体"/>
                <w:color w:val="000000"/>
                <w:szCs w:val="28"/>
              </w:rPr>
            </w:pPr>
            <w:r>
              <w:rPr>
                <w:rFonts w:hint="eastAsia" w:ascii="仿宋_GB2312" w:hAnsi="微软雅黑" w:eastAsia="仿宋_GB2312" w:cs="宋体"/>
                <w:color w:val="000000"/>
                <w:w w:val="100"/>
                <w:sz w:val="21"/>
                <w:szCs w:val="28"/>
              </w:rPr>
              <w:t>信息通信网络运营与应用专业</w:t>
            </w:r>
          </w:p>
        </w:tc>
        <w:tc>
          <w:tcPr>
            <w:tcW w:w="2069" w:type="pct"/>
            <w:shd w:val="clear" w:color="auto" w:fill="auto"/>
            <w:vAlign w:val="center"/>
          </w:tcPr>
          <w:p w14:paraId="0D01CCFB">
            <w:pPr>
              <w:overflowPunct/>
              <w:autoSpaceDE/>
              <w:autoSpaceDN/>
              <w:adjustRightInd/>
              <w:textAlignment w:val="auto"/>
              <w:rPr>
                <w:rFonts w:ascii="仿宋_GB2312" w:hAnsi="微软雅黑" w:eastAsia="仿宋_GB2312" w:cs="宋体"/>
                <w:color w:val="000000"/>
                <w:szCs w:val="28"/>
              </w:rPr>
            </w:pPr>
            <w:r>
              <w:rPr>
                <w:rFonts w:hint="eastAsia" w:ascii="仿宋_GB2312" w:hAnsi="微软雅黑" w:eastAsia="仿宋_GB2312" w:cs="宋体"/>
                <w:color w:val="000000"/>
                <w:szCs w:val="28"/>
              </w:rPr>
              <w:t>包括但不限于信息通信网络运行维护管理、信息通信网络客户信息管理、信息通信应用、信息通信网络运营与应用数字化信息技术基础设施等工程及其分支专业。</w:t>
            </w:r>
          </w:p>
        </w:tc>
        <w:tc>
          <w:tcPr>
            <w:tcW w:w="1764" w:type="pct"/>
            <w:shd w:val="clear" w:color="auto" w:fill="auto"/>
            <w:vAlign w:val="center"/>
          </w:tcPr>
          <w:p w14:paraId="5B0E135B">
            <w:pPr>
              <w:overflowPunct/>
              <w:autoSpaceDE/>
              <w:autoSpaceDN/>
              <w:adjustRightInd/>
              <w:textAlignment w:val="auto"/>
              <w:rPr>
                <w:rFonts w:hint="eastAsia" w:ascii="仿宋_GB2312" w:hAnsi="微软雅黑" w:eastAsia="仿宋_GB2312" w:cs="宋体"/>
                <w:color w:val="000000"/>
                <w:szCs w:val="28"/>
              </w:rPr>
            </w:pPr>
            <w:r>
              <w:rPr>
                <w:rFonts w:hint="eastAsia" w:ascii="仿宋_GB2312" w:hAnsi="微软雅黑" w:eastAsia="仿宋_GB2312" w:cs="宋体"/>
                <w:color w:val="000000"/>
                <w:szCs w:val="28"/>
                <w:lang w:val="en-US" w:eastAsia="zh-CN"/>
              </w:rPr>
              <w:t>1.</w:t>
            </w:r>
            <w:r>
              <w:rPr>
                <w:rFonts w:hint="eastAsia" w:ascii="仿宋_GB2312" w:hAnsi="微软雅黑" w:eastAsia="仿宋_GB2312" w:cs="宋体"/>
                <w:color w:val="000000"/>
                <w:szCs w:val="28"/>
              </w:rPr>
              <w:t>信息通信网络运行维护管理包括且不限于：信息通信网设备集中操作维护系统、信息通信网网络管理系统、信息通信机房动力和环境监控系统、信息通信网信令监测及DPI系统、信息通信网网络优化工具及平台等。</w:t>
            </w:r>
          </w:p>
          <w:p w14:paraId="01EA369D">
            <w:pPr>
              <w:overflowPunct/>
              <w:autoSpaceDE/>
              <w:autoSpaceDN/>
              <w:adjustRightInd/>
              <w:textAlignment w:val="auto"/>
              <w:rPr>
                <w:rFonts w:hint="eastAsia" w:ascii="仿宋_GB2312" w:hAnsi="微软雅黑" w:eastAsia="仿宋_GB2312" w:cs="宋体"/>
                <w:color w:val="000000"/>
                <w:szCs w:val="28"/>
              </w:rPr>
            </w:pPr>
            <w:r>
              <w:rPr>
                <w:rFonts w:hint="eastAsia" w:ascii="仿宋_GB2312" w:hAnsi="微软雅黑" w:eastAsia="仿宋_GB2312" w:cs="宋体"/>
                <w:color w:val="000000"/>
                <w:szCs w:val="28"/>
                <w:lang w:val="en-US" w:eastAsia="zh-CN"/>
              </w:rPr>
              <w:t>2.</w:t>
            </w:r>
            <w:r>
              <w:rPr>
                <w:rFonts w:hint="eastAsia" w:ascii="仿宋_GB2312" w:hAnsi="微软雅黑" w:eastAsia="仿宋_GB2312" w:cs="宋体"/>
                <w:color w:val="000000"/>
                <w:szCs w:val="28"/>
              </w:rPr>
              <w:t>信息通信网客户信息管理包括且不限于：信息通信网客户签约信息管理系统（如：开户、销户、签约信息变更）、信息通信网客户计费及账务系统、信息通信网业务受理及投诉处理客户服务坐席系统、信息通信网络经营分析系统、信息通信网运营自动化办公系统等。</w:t>
            </w:r>
          </w:p>
          <w:p w14:paraId="7F86FE43">
            <w:pPr>
              <w:overflowPunct/>
              <w:autoSpaceDE/>
              <w:autoSpaceDN/>
              <w:adjustRightInd/>
              <w:textAlignment w:val="auto"/>
              <w:rPr>
                <w:rFonts w:hint="eastAsia" w:ascii="仿宋_GB2312" w:hAnsi="微软雅黑" w:eastAsia="仿宋_GB2312" w:cs="宋体"/>
                <w:color w:val="000000"/>
                <w:szCs w:val="28"/>
              </w:rPr>
            </w:pPr>
            <w:r>
              <w:rPr>
                <w:rFonts w:hint="eastAsia" w:ascii="仿宋_GB2312" w:hAnsi="微软雅黑" w:eastAsia="仿宋_GB2312" w:cs="宋体"/>
                <w:color w:val="000000"/>
                <w:szCs w:val="28"/>
                <w:lang w:val="en-US" w:eastAsia="zh-CN"/>
              </w:rPr>
              <w:t>3.</w:t>
            </w:r>
            <w:r>
              <w:rPr>
                <w:rFonts w:hint="eastAsia" w:ascii="仿宋_GB2312" w:hAnsi="微软雅黑" w:eastAsia="仿宋_GB2312" w:cs="宋体"/>
                <w:color w:val="000000"/>
                <w:szCs w:val="28"/>
              </w:rPr>
              <w:t>信息通信应用包括且不限于：互联网应用（含移动互联网应用）、内容分发网络CDN、物联网应用（含移动物联网应用）、企业专网应用（含移动企业专网应用）、信息通信网行业应用（如：智慧城市、智慧园区、智慧农业、智慧矿山、智慧港口、智慧工厂/制造、智慧冶金、智慧电力、智慧教育、智慧医疗、智慧文旅、智慧金融、智慧交通、智慧邮政等）、工业互联网、数字</w:t>
            </w:r>
          </w:p>
          <w:p w14:paraId="50221DFA">
            <w:pPr>
              <w:overflowPunct/>
              <w:autoSpaceDE/>
              <w:autoSpaceDN/>
              <w:adjustRightInd/>
              <w:textAlignment w:val="auto"/>
              <w:rPr>
                <w:rFonts w:hint="eastAsia" w:ascii="仿宋_GB2312" w:hAnsi="微软雅黑" w:eastAsia="仿宋_GB2312" w:cs="宋体"/>
                <w:color w:val="000000"/>
                <w:szCs w:val="28"/>
              </w:rPr>
            </w:pPr>
            <w:r>
              <w:rPr>
                <w:rFonts w:hint="eastAsia" w:ascii="仿宋_GB2312" w:hAnsi="微软雅黑" w:eastAsia="仿宋_GB2312" w:cs="宋体"/>
                <w:color w:val="000000"/>
                <w:szCs w:val="28"/>
              </w:rPr>
              <w:t>人等元宇宙应用、信息通信应用终端（固定和移动终端）等。</w:t>
            </w:r>
          </w:p>
          <w:p w14:paraId="484ADD27">
            <w:pPr>
              <w:overflowPunct/>
              <w:autoSpaceDE/>
              <w:autoSpaceDN/>
              <w:adjustRightInd/>
              <w:textAlignment w:val="auto"/>
              <w:rPr>
                <w:rFonts w:hint="eastAsia" w:ascii="仿宋_GB2312" w:hAnsi="微软雅黑" w:eastAsia="仿宋_GB2312" w:cs="宋体"/>
                <w:color w:val="000000"/>
                <w:szCs w:val="28"/>
              </w:rPr>
            </w:pPr>
            <w:r>
              <w:rPr>
                <w:rFonts w:hint="eastAsia" w:ascii="仿宋_GB2312" w:hAnsi="微软雅黑" w:eastAsia="仿宋_GB2312" w:cs="宋体"/>
                <w:color w:val="000000"/>
                <w:szCs w:val="28"/>
                <w:lang w:val="en-US" w:eastAsia="zh-CN"/>
              </w:rPr>
              <w:t>4.</w:t>
            </w:r>
            <w:r>
              <w:rPr>
                <w:rFonts w:hint="eastAsia" w:ascii="仿宋_GB2312" w:hAnsi="微软雅黑" w:eastAsia="仿宋_GB2312" w:cs="宋体"/>
                <w:color w:val="000000"/>
                <w:szCs w:val="28"/>
              </w:rPr>
              <w:t>信息通信网络运营与应用数字化信息技术基础设施包括且不限于：云资源池硬件、云资源池IaaS软件、云资源池PaaS软件、云密码资源池、网络和信息安全、AI人工智能平台、区块链应用、大数据应用等以及新一代数字化信息技术。</w:t>
            </w:r>
          </w:p>
        </w:tc>
      </w:tr>
    </w:tbl>
    <w:p w14:paraId="756597A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小标宋">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3CE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ED2C1E">
                          <w:pPr>
                            <w:pStyle w:val="2"/>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8ED2C1E">
                    <w:pPr>
                      <w:pStyle w:val="2"/>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C432D"/>
    <w:rsid w:val="7E8C4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2025-04-16T02:16:00Z</dcterms:created>
  <dc:creator>通信移慧</dc:creator>
  <cp:lastModifiedBy>通信移慧</cp:lastModifiedBy>
  <dcterms:modified xsi:type="dcterms:W3CDTF">2025-04-16T02:17:12Z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0E4D21BBFF824EAEAA1319240BA02387_11</vt:lpwstr>
  </property>
  <property fmtid="{D5CDD505-2E9C-101B-9397-08002B2CF9AE}" pid="4" name="KSOTemplateDocerSaveRecord">
    <vt:lpwstr>eyJoZGlkIjoiZjk0YTZjNmIwYWE1MzY2ZGZiZWVhNGUyNTg5NWU2ZWQiLCJ1c2VySWQiOiIyMzc4MDg5MjUifQ==</vt:lpwstr>
  </property>
</Properties>
</file>